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93" w:rsidRDefault="00086C93" w:rsidP="00D677BE">
      <w:pPr>
        <w:widowControl/>
        <w:shd w:val="clear" w:color="auto" w:fill="FFFFFF"/>
        <w:jc w:val="center"/>
        <w:rPr>
          <w:rFonts w:ascii="Arial" w:eastAsia="ＭＳ Ｐゴシック" w:hAnsi="Arial" w:cs="Arial"/>
          <w:b/>
          <w:bCs/>
          <w:color w:val="555555"/>
          <w:kern w:val="0"/>
          <w:sz w:val="27"/>
          <w:szCs w:val="27"/>
        </w:rPr>
      </w:pPr>
      <w:r>
        <w:rPr>
          <w:rFonts w:ascii="Arial" w:eastAsia="ＭＳ Ｐゴシック" w:hAnsi="Arial" w:cs="Arial" w:hint="eastAsia"/>
          <w:b/>
          <w:bCs/>
          <w:noProof/>
          <w:color w:val="555555"/>
          <w:kern w:val="0"/>
          <w:sz w:val="27"/>
          <w:szCs w:val="27"/>
        </w:rPr>
        <w:drawing>
          <wp:anchor distT="0" distB="0" distL="114300" distR="114300" simplePos="0" relativeHeight="251658240" behindDoc="0" locked="0" layoutInCell="1" allowOverlap="1">
            <wp:simplePos x="0" y="0"/>
            <wp:positionH relativeFrom="margin">
              <wp:posOffset>-243651</wp:posOffset>
            </wp:positionH>
            <wp:positionV relativeFrom="margin">
              <wp:posOffset>-171247</wp:posOffset>
            </wp:positionV>
            <wp:extent cx="929005" cy="836295"/>
            <wp:effectExtent l="0" t="0" r="4445"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エスクルのみ).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005" cy="836295"/>
                    </a:xfrm>
                    <a:prstGeom prst="rect">
                      <a:avLst/>
                    </a:prstGeom>
                  </pic:spPr>
                </pic:pic>
              </a:graphicData>
            </a:graphic>
            <wp14:sizeRelH relativeFrom="margin">
              <wp14:pctWidth>0</wp14:pctWidth>
            </wp14:sizeRelH>
            <wp14:sizeRelV relativeFrom="margin">
              <wp14:pctHeight>0</wp14:pctHeight>
            </wp14:sizeRelV>
          </wp:anchor>
        </w:drawing>
      </w:r>
    </w:p>
    <w:p w:rsidR="00086C93" w:rsidRDefault="00086C93" w:rsidP="00D677BE">
      <w:pPr>
        <w:widowControl/>
        <w:shd w:val="clear" w:color="auto" w:fill="FFFFFF"/>
        <w:jc w:val="center"/>
        <w:rPr>
          <w:rFonts w:ascii="Arial" w:eastAsia="ＭＳ Ｐゴシック" w:hAnsi="Arial" w:cs="Arial"/>
          <w:b/>
          <w:bCs/>
          <w:color w:val="555555"/>
          <w:kern w:val="0"/>
          <w:sz w:val="27"/>
          <w:szCs w:val="27"/>
        </w:rPr>
      </w:pPr>
    </w:p>
    <w:p w:rsidR="00086C93" w:rsidRDefault="00086C93" w:rsidP="00D677BE">
      <w:pPr>
        <w:widowControl/>
        <w:shd w:val="clear" w:color="auto" w:fill="FFFFFF"/>
        <w:jc w:val="center"/>
        <w:rPr>
          <w:rFonts w:ascii="Arial" w:eastAsia="ＭＳ Ｐゴシック" w:hAnsi="Arial" w:cs="Arial" w:hint="eastAsia"/>
          <w:b/>
          <w:bCs/>
          <w:color w:val="555555"/>
          <w:kern w:val="0"/>
          <w:sz w:val="27"/>
          <w:szCs w:val="27"/>
        </w:rPr>
      </w:pPr>
    </w:p>
    <w:p w:rsidR="00D677BE" w:rsidRPr="00D677BE" w:rsidRDefault="00D677BE" w:rsidP="00D677BE">
      <w:pPr>
        <w:widowControl/>
        <w:shd w:val="clear" w:color="auto" w:fill="FFFFFF"/>
        <w:jc w:val="center"/>
        <w:rPr>
          <w:rFonts w:ascii="Arial" w:eastAsia="ＭＳ Ｐゴシック" w:hAnsi="Arial" w:cs="Arial"/>
          <w:color w:val="555555"/>
          <w:kern w:val="0"/>
          <w:sz w:val="20"/>
          <w:szCs w:val="20"/>
        </w:rPr>
      </w:pPr>
      <w:r>
        <w:rPr>
          <w:rFonts w:ascii="Arial" w:eastAsia="ＭＳ Ｐゴシック" w:hAnsi="Arial" w:cs="Arial" w:hint="eastAsia"/>
          <w:b/>
          <w:bCs/>
          <w:color w:val="555555"/>
          <w:kern w:val="0"/>
          <w:sz w:val="27"/>
          <w:szCs w:val="27"/>
        </w:rPr>
        <w:t>ひとり親支援にかかる</w:t>
      </w:r>
      <w:r w:rsidRPr="00D677BE">
        <w:rPr>
          <w:rFonts w:ascii="Arial" w:eastAsia="ＭＳ Ｐゴシック" w:hAnsi="Arial" w:cs="Arial"/>
          <w:b/>
          <w:bCs/>
          <w:color w:val="555555"/>
          <w:kern w:val="0"/>
          <w:sz w:val="27"/>
          <w:szCs w:val="27"/>
        </w:rPr>
        <w:t>政策要望</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shd w:val="clear" w:color="auto" w:fill="FFFFFF"/>
        <w:jc w:val="righ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ひとり親交流サークル</w:t>
      </w:r>
      <w:r w:rsidRPr="00D677BE">
        <w:rPr>
          <w:rFonts w:ascii="Arial" w:eastAsia="ＭＳ Ｐゴシック" w:hAnsi="Arial" w:cs="Arial"/>
          <w:color w:val="555555"/>
          <w:kern w:val="0"/>
          <w:sz w:val="20"/>
          <w:szCs w:val="20"/>
        </w:rPr>
        <w:t xml:space="preserve"> </w:t>
      </w:r>
      <w:r w:rsidRPr="00D677BE">
        <w:rPr>
          <w:rFonts w:ascii="Arial" w:eastAsia="ＭＳ Ｐゴシック" w:hAnsi="Arial" w:cs="Arial"/>
          <w:color w:val="555555"/>
          <w:kern w:val="0"/>
          <w:sz w:val="20"/>
          <w:szCs w:val="20"/>
        </w:rPr>
        <w:t>エスクル</w:t>
      </w:r>
    </w:p>
    <w:p w:rsidR="00D677BE" w:rsidRDefault="00D677BE" w:rsidP="00D677BE">
      <w:pPr>
        <w:widowControl/>
        <w:shd w:val="clear" w:color="auto" w:fill="FFFFFF"/>
        <w:jc w:val="left"/>
        <w:rPr>
          <w:rFonts w:ascii="Arial" w:eastAsia="ＭＳ Ｐゴシック" w:hAnsi="Arial" w:cs="Arial"/>
          <w:color w:val="555555"/>
          <w:kern w:val="0"/>
          <w:sz w:val="20"/>
          <w:szCs w:val="20"/>
        </w:rPr>
      </w:pPr>
      <w:bookmarkStart w:id="0" w:name="_GoBack"/>
      <w:bookmarkEnd w:id="0"/>
    </w:p>
    <w:p w:rsidR="00086C93" w:rsidRPr="00D677BE" w:rsidRDefault="00086C93" w:rsidP="00D677BE">
      <w:pPr>
        <w:widowControl/>
        <w:shd w:val="clear" w:color="auto" w:fill="FFFFFF"/>
        <w:jc w:val="left"/>
        <w:rPr>
          <w:rFonts w:ascii="Arial" w:eastAsia="ＭＳ Ｐゴシック" w:hAnsi="Arial" w:cs="Arial" w:hint="eastAsia"/>
          <w:color w:val="555555"/>
          <w:kern w:val="0"/>
          <w:sz w:val="20"/>
          <w:szCs w:val="20"/>
        </w:rPr>
      </w:pP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下記の通り要望する。</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1"/>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寡夫控除の所得制限の撤廃（もしくは引き上げ）</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男女平等の理念のもと女性との格差を是正されたい。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2"/>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保育利用調整基準の是正</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ひとり親への加点を拡充し、待機児童が発生しないよう調整されたい。</w:t>
      </w:r>
    </w:p>
    <w:p w:rsidR="00D677BE" w:rsidRPr="00D677BE" w:rsidRDefault="00D677BE" w:rsidP="00C45F5A">
      <w:pPr>
        <w:widowControl/>
        <w:shd w:val="clear" w:color="auto" w:fill="FFFFFF"/>
        <w:ind w:left="100" w:hangingChars="50" w:hanging="1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また、ひとり親における時短勤務</w:t>
      </w:r>
      <w:r>
        <w:rPr>
          <w:rFonts w:ascii="Arial" w:eastAsia="ＭＳ Ｐゴシック" w:hAnsi="Arial" w:cs="Arial" w:hint="eastAsia"/>
          <w:color w:val="555555"/>
          <w:kern w:val="0"/>
          <w:sz w:val="20"/>
          <w:szCs w:val="20"/>
        </w:rPr>
        <w:t>は経済的</w:t>
      </w:r>
      <w:r w:rsidRPr="00D677BE">
        <w:rPr>
          <w:rFonts w:ascii="Arial" w:eastAsia="ＭＳ Ｐゴシック" w:hAnsi="Arial" w:cs="Arial"/>
          <w:color w:val="555555"/>
          <w:kern w:val="0"/>
          <w:sz w:val="20"/>
          <w:szCs w:val="20"/>
        </w:rPr>
        <w:t>安定を損なう恐れがあるため、すべての地域において、減点対象とならないよう配慮されたい。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3"/>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収入制限のないひとり親支援手当の創設（もしくは児童扶養手当の特例加算）</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現在の児童扶養手当とあわせて、収入制限のないひとり親支援手当（仮称）の給付を求める（ひとり親であれば</w:t>
      </w:r>
      <w:r>
        <w:rPr>
          <w:rFonts w:ascii="Arial" w:eastAsia="ＭＳ Ｐゴシック" w:hAnsi="Arial" w:cs="Arial" w:hint="eastAsia"/>
          <w:color w:val="555555"/>
          <w:kern w:val="0"/>
          <w:sz w:val="20"/>
          <w:szCs w:val="20"/>
        </w:rPr>
        <w:t>所得や性差に</w:t>
      </w:r>
      <w:r w:rsidRPr="00D677BE">
        <w:rPr>
          <w:rFonts w:ascii="Arial" w:eastAsia="ＭＳ Ｐゴシック" w:hAnsi="Arial" w:cs="Arial"/>
          <w:color w:val="555555"/>
          <w:kern w:val="0"/>
          <w:sz w:val="20"/>
          <w:szCs w:val="20"/>
        </w:rPr>
        <w:t>関係なく</w:t>
      </w:r>
      <w:r>
        <w:rPr>
          <w:rFonts w:ascii="Arial" w:eastAsia="ＭＳ Ｐゴシック" w:hAnsi="Arial" w:cs="Arial" w:hint="eastAsia"/>
          <w:color w:val="555555"/>
          <w:kern w:val="0"/>
          <w:sz w:val="20"/>
          <w:szCs w:val="20"/>
        </w:rPr>
        <w:t>一律</w:t>
      </w:r>
      <w:r w:rsidRPr="00D677BE">
        <w:rPr>
          <w:rFonts w:ascii="Arial" w:eastAsia="ＭＳ Ｐゴシック" w:hAnsi="Arial" w:cs="Arial"/>
          <w:color w:val="555555"/>
          <w:kern w:val="0"/>
          <w:sz w:val="20"/>
          <w:szCs w:val="20"/>
        </w:rPr>
        <w:t>受給可能な制度の創出）</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4"/>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養育費の保証制度</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実際には支払われないケースが多い「養育費」の徴収強化の実施、制度化。</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国庫負担で支給し、養育費を支払う側へ対する税等での徴収という形態を実施可能とする法整備。</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5"/>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ひとり親雇用企業への助成金の創設</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が働きやすい社会の実現のため、ひとり親を雇用した企業への助成金制度の創設。高齢者、女性、障がい者に加え、ひとり親も助成金の支給対象とされたい。ひとり親の心理的負担感の軽減にもつながる。</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6"/>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幼稚園などの延長保育料への補助金支給</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収入制限のあるなか、家計負担として非常に厳しい状況。</w:t>
      </w:r>
    </w:p>
    <w:p w:rsidR="00D677BE" w:rsidRPr="00D677BE" w:rsidRDefault="00D677BE" w:rsidP="00C45F5A">
      <w:pPr>
        <w:widowControl/>
        <w:shd w:val="clear" w:color="auto" w:fill="FFFFFF"/>
        <w:ind w:left="200" w:hangingChars="100" w:hanging="2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ひとり親に対しては、一定額以上の負担がないよう差額について補助金支給などが可能な制度を創設されたい。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7"/>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lastRenderedPageBreak/>
        <w:t>ひとり親支援にかかる予算の</w:t>
      </w:r>
      <w:r>
        <w:rPr>
          <w:rFonts w:ascii="Arial" w:eastAsia="ＭＳ Ｐゴシック" w:hAnsi="Arial" w:cs="Arial" w:hint="eastAsia"/>
          <w:color w:val="555555"/>
          <w:kern w:val="0"/>
          <w:sz w:val="20"/>
          <w:szCs w:val="20"/>
        </w:rPr>
        <w:t>確保・</w:t>
      </w:r>
      <w:r w:rsidRPr="00D677BE">
        <w:rPr>
          <w:rFonts w:ascii="Arial" w:eastAsia="ＭＳ Ｐゴシック" w:hAnsi="Arial" w:cs="Arial"/>
          <w:color w:val="555555"/>
          <w:kern w:val="0"/>
          <w:sz w:val="20"/>
          <w:szCs w:val="20"/>
        </w:rPr>
        <w:t>恒久化と拡充</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年々増大する社会保障費への対策が喫緊の課題となっている。また、少子化・人手不足対策としてダイバシティーに着目し、各属性への雇用促進や支援などにかかる予算が確保されているが、ひとり親に対する社会復帰や雇用促進等にかかる支援施策が可能な十分な財源を確保し、関係省庁に配分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8"/>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父子家庭をも対象とした行政におけるひとり親支援事業（特に交流機能）の拡充</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現状、シングルマザーを対象とした支援事業は非常に多い。</w:t>
      </w:r>
    </w:p>
    <w:p w:rsidR="00D677BE" w:rsidRPr="00D677BE" w:rsidRDefault="00D677BE" w:rsidP="00C45F5A">
      <w:pPr>
        <w:widowControl/>
        <w:shd w:val="clear" w:color="auto" w:fill="FFFFFF"/>
        <w:ind w:left="200" w:hangingChars="100" w:hanging="2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サービスや支援を求めるシングルファザーは多数潜在するにも関わらず、必要な事業が行き届いていないのが現状。特に、精神的に孤立しがちなシングルファザーの交流を促進する事業を拡充されたい。全国に１８万人しかいないため、横の連携が取りづらいのが現状。</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9"/>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女児を育成するシングルファザーの相談窓口の設置</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シングルファザーは育児において相談できる相手を有しない場合が多い。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そのようななか、子の育児、とりわけ女児に関する育児については経験・体験・知見などに乏しく、困ることが多い。そのため、育成の各段階における課題に対して、相談可能な窓口を行政等に設置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C45F5A" w:rsidRDefault="00D677BE" w:rsidP="00C45F5A">
      <w:pPr>
        <w:widowControl/>
        <w:shd w:val="clear" w:color="auto" w:fill="FFFFFF"/>
        <w:jc w:val="right"/>
        <w:rPr>
          <w:rFonts w:ascii="Arial" w:eastAsia="ＭＳ Ｐゴシック" w:hAnsi="Arial" w:cs="Arial" w:hint="eastAsia"/>
          <w:color w:val="555555"/>
          <w:kern w:val="0"/>
          <w:sz w:val="20"/>
          <w:szCs w:val="20"/>
        </w:rPr>
      </w:pPr>
      <w:r w:rsidRPr="00D677BE">
        <w:rPr>
          <w:rFonts w:ascii="Arial" w:eastAsia="ＭＳ Ｐゴシック" w:hAnsi="Arial" w:cs="Arial"/>
          <w:color w:val="555555"/>
          <w:kern w:val="0"/>
          <w:sz w:val="20"/>
          <w:szCs w:val="20"/>
        </w:rPr>
        <w:t>以上</w:t>
      </w:r>
    </w:p>
    <w:sectPr w:rsidR="00D677BE" w:rsidRPr="00C45F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675A"/>
    <w:multiLevelType w:val="multilevel"/>
    <w:tmpl w:val="692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5011"/>
    <w:multiLevelType w:val="multilevel"/>
    <w:tmpl w:val="C82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F5078"/>
    <w:multiLevelType w:val="multilevel"/>
    <w:tmpl w:val="A73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5519"/>
    <w:multiLevelType w:val="multilevel"/>
    <w:tmpl w:val="AEF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536D6"/>
    <w:multiLevelType w:val="multilevel"/>
    <w:tmpl w:val="F6EC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C43BC"/>
    <w:multiLevelType w:val="multilevel"/>
    <w:tmpl w:val="94C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618B9"/>
    <w:multiLevelType w:val="multilevel"/>
    <w:tmpl w:val="407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47BD6"/>
    <w:multiLevelType w:val="multilevel"/>
    <w:tmpl w:val="399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734AD"/>
    <w:multiLevelType w:val="multilevel"/>
    <w:tmpl w:val="270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BE"/>
    <w:rsid w:val="00086C93"/>
    <w:rsid w:val="00A73AEB"/>
    <w:rsid w:val="00C45F5A"/>
    <w:rsid w:val="00D677BE"/>
    <w:rsid w:val="00E85D76"/>
    <w:rsid w:val="00F0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6BF1F3-5C34-458A-9F72-7CF09900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7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裕史 秦</dc:creator>
  <cp:keywords/>
  <dc:description/>
  <cp:lastModifiedBy>今井　智洋</cp:lastModifiedBy>
  <cp:revision>5</cp:revision>
  <cp:lastPrinted>2018-12-17T00:02:00Z</cp:lastPrinted>
  <dcterms:created xsi:type="dcterms:W3CDTF">2018-12-16T23:51:00Z</dcterms:created>
  <dcterms:modified xsi:type="dcterms:W3CDTF">2018-12-17T00:02:00Z</dcterms:modified>
</cp:coreProperties>
</file>